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9F" w:rsidRDefault="00AF439F" w:rsidP="00AF4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Útmutató</w:t>
      </w:r>
      <w:r w:rsidR="00A870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kurzusfelvételhez</w:t>
      </w:r>
      <w:r w:rsidR="00A870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PTE</w:t>
      </w:r>
      <w:r w:rsidR="00A870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Demográfia</w:t>
      </w:r>
      <w:r w:rsidR="00A870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és</w:t>
      </w:r>
      <w:r w:rsidR="00A870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Szociológia</w:t>
      </w:r>
      <w:r w:rsidR="00A870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Doktori</w:t>
      </w:r>
      <w:r w:rsidR="00A870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Iskolában</w:t>
      </w:r>
    </w:p>
    <w:p w:rsidR="00AF439F" w:rsidRDefault="00AF439F" w:rsidP="00AF439F">
      <w:pPr>
        <w:pStyle w:val="Cmsor2"/>
      </w:pPr>
      <w:r>
        <w:t>A</w:t>
      </w:r>
      <w:r w:rsidR="00A870B4">
        <w:t xml:space="preserve"> </w:t>
      </w:r>
      <w:r>
        <w:t>tanulmányaikat</w:t>
      </w:r>
      <w:r w:rsidR="00A870B4">
        <w:t xml:space="preserve"> </w:t>
      </w:r>
      <w:r>
        <w:t>2016-ban</w:t>
      </w:r>
      <w:r w:rsidR="00A870B4">
        <w:t xml:space="preserve"> </w:t>
      </w:r>
      <w:r>
        <w:t>vagy</w:t>
      </w:r>
      <w:r w:rsidR="00A870B4">
        <w:t xml:space="preserve"> </w:t>
      </w:r>
      <w:r>
        <w:t>később</w:t>
      </w:r>
      <w:r w:rsidR="00A870B4">
        <w:t xml:space="preserve"> </w:t>
      </w:r>
      <w:r>
        <w:t>megkezdett</w:t>
      </w:r>
      <w:r w:rsidR="00A870B4">
        <w:t xml:space="preserve"> </w:t>
      </w:r>
      <w:r>
        <w:t>hallgatók</w:t>
      </w:r>
      <w:r w:rsidR="00A870B4">
        <w:t xml:space="preserve"> </w:t>
      </w:r>
      <w:r>
        <w:t>számára</w:t>
      </w:r>
    </w:p>
    <w:p w:rsidR="00AF439F" w:rsidRPr="00AF439F" w:rsidRDefault="00AF439F" w:rsidP="00AF4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AF439F" w:rsidRPr="00AF439F" w:rsidRDefault="00AF439F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tanulmányok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során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kreditet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teljesíteni.</w:t>
      </w:r>
    </w:p>
    <w:p w:rsidR="00AF439F" w:rsidRPr="00AF439F" w:rsidRDefault="00D86173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1) </w:t>
      </w:r>
      <w:r w:rsidR="00AF439F"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komplex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előtti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(képzési és kutatási)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szakaszban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120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kreditet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teljesíteni,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melyből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72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48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kurzustól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lehet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munkáért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kapott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meghirdetéséről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titkárság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elején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kiküldi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egyes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évfolyamok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tantervét,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ók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jelentkeznek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Neptunba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proofErr w:type="spellEnd"/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tantervben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kurzusokra,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esetlege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pótlandó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kurzusokra.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kurzusjelentkezéssel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segítség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kérése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forduljanak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Novákné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Végső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Zsuzsához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4" w:history="1">
        <w:r w:rsidR="00AF439F" w:rsidRPr="00AF4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vegso.zsuzsa@pte.hu</w:t>
        </w:r>
      </w:hyperlink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AF439F" w:rsidRPr="00AF439F" w:rsidRDefault="00D86173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2) </w:t>
      </w:r>
      <w:r w:rsidR="00AF439F"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komplex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utáni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(kutatási és disszertációs) szakaszban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120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kreditet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teljesíteni.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túlnyomó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többsége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szemeszterben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meghirdetésre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doktoranduszok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veszik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kurzusokat,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teljesítéseiket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kreditekkel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tudjuk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elismerni.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forduljanak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Berger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Viktorhoz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5" w:history="1">
        <w:r w:rsidR="00AF439F" w:rsidRPr="00AF4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berger.viktor@pte.hu</w:t>
        </w:r>
      </w:hyperlink>
      <w:r w:rsidR="00AF439F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D86173" w:rsidRDefault="00D86173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439F" w:rsidRPr="00AF439F" w:rsidRDefault="00D86173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1) </w:t>
      </w:r>
      <w:r w:rsidR="00BB025D"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BB02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KOMPLEX VIZSGA ELŐTTI (KÉPZÉSI ÉS KUTATÁSI) SZAKASZ</w:t>
      </w:r>
      <w:r w:rsidRPr="00D8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</w:t>
      </w:r>
      <w:r w:rsidR="00A870B4" w:rsidRPr="00D8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F439F" w:rsidRPr="00D8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kutatási</w:t>
      </w:r>
      <w:r w:rsidR="00A870B4" w:rsidRPr="00D8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F439F" w:rsidRPr="00D8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</w:t>
      </w:r>
      <w:r w:rsidR="00A870B4" w:rsidRPr="00D8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F439F" w:rsidRPr="00D8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</w:t>
      </w:r>
      <w:r w:rsidRPr="00D86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kreditjének összetétele</w:t>
      </w:r>
    </w:p>
    <w:p w:rsidR="00AF439F" w:rsidRPr="00AF439F" w:rsidRDefault="00AF439F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KUTATÓI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MŰHELYMUNKA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kredit).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ide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tartozó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kurzusokat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meghirdeti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elején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kiküldött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tantervbe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illeszti,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ennek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veszik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őket.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tematikát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kapják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1228"/>
        <w:gridCol w:w="874"/>
        <w:gridCol w:w="1361"/>
      </w:tblGrid>
      <w:tr w:rsidR="00AF439F" w:rsidRPr="00AF439F" w:rsidTr="00AF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F439F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Kutatószeminárium</w:t>
            </w:r>
            <w:r w:rsid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  <w:r w:rsid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51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F439F" w:rsidRPr="00AF439F" w:rsidTr="00AF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F439F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Kutatószeminárium</w:t>
            </w:r>
            <w:r w:rsid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 w:rsid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51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DSNP0402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5174B" w:rsidRPr="00AF439F" w:rsidTr="002517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74B" w:rsidRPr="00AF439F" w:rsidRDefault="0025174B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Doktorandusz</w:t>
            </w:r>
            <w:r w:rsid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workshop</w:t>
            </w:r>
            <w:proofErr w:type="spellEnd"/>
            <w:r w:rsid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74B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51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DSNP0403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74B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51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5174B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74B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5174B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5174B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F439F" w:rsidRPr="00AF439F" w:rsidTr="00AF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F439F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Kutatószeminárium</w:t>
            </w:r>
            <w:r w:rsid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51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DSNP0404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51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AF439F" w:rsidRPr="00AF439F" w:rsidRDefault="00AF439F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KUTATÁSI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</w:t>
      </w:r>
      <w:r w:rsidR="00A870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kredit).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ide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tartozó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kurzusokat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tanterv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meghirdetjük,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veszik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őket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abban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szemeszterben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felvehetik</w:t>
      </w:r>
      <w:proofErr w:type="spellEnd"/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174B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elismertetendő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kutatási,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tudományszervezési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tevékenységük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van,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oldaláról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letölthető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tematikák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603"/>
        <w:gridCol w:w="874"/>
        <w:gridCol w:w="1634"/>
      </w:tblGrid>
      <w:tr w:rsidR="00A870B4" w:rsidRPr="00AF439F" w:rsidTr="00A870B4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953E52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Kutatómunka témavezetővel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DSNP0501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870B4" w:rsidRPr="00AF439F" w:rsidTr="00A870B4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Oktatási/kutatási/tudományszervezési gyakorlat 1. 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(letöltés)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Füzér Katalin,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Berger Viktor</w:t>
            </w:r>
          </w:p>
        </w:tc>
      </w:tr>
      <w:tr w:rsidR="00A870B4" w:rsidRPr="00AF439F" w:rsidTr="00A870B4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Oktatási/kutatási/tudományszervezési gyakorlat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(letöltés)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 </w:t>
            </w:r>
            <w:r w:rsidR="00AF439F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9F" w:rsidRPr="00AF439F" w:rsidRDefault="00A870B4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Füzér Katalin,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Berger Viktor</w:t>
            </w:r>
          </w:p>
        </w:tc>
      </w:tr>
      <w:tr w:rsidR="00A870B4" w:rsidRPr="00AF439F" w:rsidTr="00A870B4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B4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Oktatási/kutatási/tudományszervezési gyakorlat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(letöltés)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B4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B4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0B4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Füzér Katalin,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A870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Berger Viktor</w:t>
            </w:r>
          </w:p>
        </w:tc>
      </w:tr>
      <w:tr w:rsidR="00A870B4" w:rsidRPr="00AF439F" w:rsidTr="00A870B4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P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Felkészülés komplex vizsgára (elmélet)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Berger Viktor</w:t>
            </w:r>
          </w:p>
        </w:tc>
      </w:tr>
      <w:tr w:rsidR="00A870B4" w:rsidRPr="00AF439F" w:rsidTr="00A870B4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P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Felkészülés komplex vizsgára (empíria)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Füzér Katalin</w:t>
            </w:r>
          </w:p>
        </w:tc>
      </w:tr>
      <w:tr w:rsidR="00A870B4" w:rsidRPr="00AF439F" w:rsidTr="00A870B4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P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Felkészülés komplex vizsgára (módszertan)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Pr="00AF439F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DSNP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0B4" w:rsidRDefault="00A870B4" w:rsidP="00A8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Bognár Adrienn</w:t>
            </w:r>
          </w:p>
        </w:tc>
      </w:tr>
    </w:tbl>
    <w:p w:rsidR="00D86173" w:rsidRDefault="00D86173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6173" w:rsidRDefault="00D86173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2) </w:t>
      </w:r>
      <w:r w:rsidR="00BB025D"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BB02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KOMPLEX VIZSGA UTÁNI (KUTATÁSI ÉS DISSZERTÁCIÓS) SZAKASZ</w:t>
      </w:r>
      <w:r w:rsidR="00953E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120 kredit</w:t>
      </w:r>
    </w:p>
    <w:p w:rsidR="00A3641D" w:rsidRDefault="00A3641D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 TÉMAVEZETŐVEL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603"/>
        <w:gridCol w:w="941"/>
      </w:tblGrid>
      <w:tr w:rsidR="00953E52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870B4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Kutatómunka témavezetővel 1.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</w:tr>
      <w:tr w:rsidR="00953E52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870B4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Kutatómunka témavezetővel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</w:tr>
      <w:tr w:rsidR="00953E52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870B4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Kutatómunka témavezetővel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</w:tr>
      <w:tr w:rsidR="00953E52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870B4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Kutatómunka témavezetővel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953E52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</w:tr>
    </w:tbl>
    <w:p w:rsidR="00D86173" w:rsidRDefault="00A3641D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PUBLIKÁCIÓ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A3641D">
        <w:rPr>
          <w:rFonts w:ascii="Times New Roman" w:eastAsia="Times New Roman" w:hAnsi="Times New Roman" w:cs="Times New Roman"/>
          <w:sz w:val="24"/>
          <w:szCs w:val="24"/>
          <w:lang w:eastAsia="hu-HU"/>
        </w:rPr>
        <w:t>letöltés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(összesen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teljesíteni).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vizsga után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meghirdetjük,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veszik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őket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abban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szemeszterben,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elismertetendő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publikációs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van,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oldaláról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letölthető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kurzusfelvétel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útján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el.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603"/>
        <w:gridCol w:w="814"/>
        <w:gridCol w:w="1301"/>
      </w:tblGrid>
      <w:tr w:rsidR="00953E52" w:rsidRPr="00AF439F" w:rsidTr="006957AE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870B4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A3641D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953E52" w:rsidRPr="00AF439F" w:rsidTr="006957AE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870B4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 2.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A3641D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953E52" w:rsidRPr="00AF439F" w:rsidTr="006957AE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870B4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 3.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A3641D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953E52" w:rsidRPr="00AF439F" w:rsidTr="006957AE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870B4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 4.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A3641D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953E52" w:rsidRPr="00AF439F" w:rsidTr="006957AE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A3641D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953E52" w:rsidRPr="00AF439F" w:rsidTr="006957AE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A3641D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  <w:tr w:rsidR="00953E52" w:rsidRPr="00AF439F" w:rsidTr="006957AE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Default="00A3641D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953E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53E52"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52" w:rsidRPr="00AF439F" w:rsidRDefault="00953E52" w:rsidP="0095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</w:t>
            </w:r>
          </w:p>
        </w:tc>
      </w:tr>
    </w:tbl>
    <w:p w:rsidR="00D86173" w:rsidRPr="00A3641D" w:rsidRDefault="00A3641D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egyes publikációk értéke. </w:t>
      </w:r>
      <w:r w:rsidRPr="00A364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Amennyiben egy publikáció többet ér 5 kreditnél, és elfogadásra kerül ilyenként, az értékének megfelelő mennyiségű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publikációs kurzust kell felvenni. (Pl. valakinek publikációja van hazai minősített folyóiratban. Ez 10 kreditet ér. Ha elfogadásra került, két db publikációs kurzust kell felvenni, azokban írjuk </w:t>
      </w:r>
      <w:r w:rsidR="0030250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jóvá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teljesítést.)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994"/>
        <w:gridCol w:w="1361"/>
      </w:tblGrid>
      <w:tr w:rsidR="00A3641D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minősített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folyóiratban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3641D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Publikáció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minősített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folyóiratban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3641D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Könyvfejezet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magyarul,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lektorált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kiadványban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3641D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Könyvfejezet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világnyelven,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lektorált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kiadványban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3641D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Publikáció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kiadványban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1D" w:rsidRPr="00AF439F" w:rsidRDefault="00A3641D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Zsolt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A3641D" w:rsidRDefault="00A3641D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F439F" w:rsidRDefault="00AF439F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KONFERENCIARÉSZVÉTEL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A3641D">
        <w:rPr>
          <w:rFonts w:ascii="Times New Roman" w:eastAsia="Times New Roman" w:hAnsi="Times New Roman" w:cs="Times New Roman"/>
          <w:sz w:val="24"/>
          <w:szCs w:val="24"/>
          <w:lang w:eastAsia="hu-HU"/>
        </w:rPr>
        <w:t>letöltés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(összesen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250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kreditet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teljesíteni).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ide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tartozó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kurzusokat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2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vizsgát követően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meghirdetjük,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veszik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őket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abban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szemeszterben,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amikor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elismertetendő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</w:t>
      </w:r>
      <w:r w:rsidR="0030250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tevékenységük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van,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oldaláról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letölthető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szerint.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tanulmányokat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megelőző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teljesítéseket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kurzusfelvétel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útján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ismerjük</w:t>
      </w:r>
      <w:r w:rsidR="00A870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439F">
        <w:rPr>
          <w:rFonts w:ascii="Times New Roman" w:eastAsia="Times New Roman" w:hAnsi="Times New Roman" w:cs="Times New Roman"/>
          <w:sz w:val="24"/>
          <w:szCs w:val="24"/>
          <w:lang w:eastAsia="hu-HU"/>
        </w:rPr>
        <w:t>el.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603"/>
        <w:gridCol w:w="814"/>
        <w:gridCol w:w="1454"/>
      </w:tblGrid>
      <w:tr w:rsidR="0030250A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870B4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AF5A30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DSPN09</w:t>
            </w:r>
            <w:r w:rsidR="0030250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Füzér Katalin.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Berger Viktor</w:t>
            </w:r>
          </w:p>
        </w:tc>
      </w:tr>
      <w:tr w:rsidR="0030250A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870B4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 2.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AF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</w:t>
            </w:r>
            <w:r w:rsidR="00AF5A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Füzér Katalin.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Berger Viktor</w:t>
            </w:r>
          </w:p>
        </w:tc>
      </w:tr>
      <w:tr w:rsidR="0030250A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870B4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 3.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AF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</w:t>
            </w:r>
            <w:r w:rsidR="00AF5A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Füzér Katalin.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Berger Viktor</w:t>
            </w:r>
          </w:p>
        </w:tc>
      </w:tr>
      <w:tr w:rsidR="0030250A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870B4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 4.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AF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</w:t>
            </w:r>
            <w:r w:rsidR="00AF5A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Füzér Katalin.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Berger Viktor</w:t>
            </w:r>
          </w:p>
        </w:tc>
      </w:tr>
      <w:tr w:rsidR="0030250A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 5.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AF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</w:t>
            </w:r>
            <w:r w:rsidR="00AF5A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Füzér Katalin.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Berger Viktor</w:t>
            </w:r>
          </w:p>
        </w:tc>
      </w:tr>
      <w:tr w:rsidR="0030250A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 6.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AF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</w:t>
            </w:r>
            <w:r w:rsidR="00AF5A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Füzér Katalin.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Berger Viktor</w:t>
            </w:r>
          </w:p>
        </w:tc>
      </w:tr>
      <w:tr w:rsidR="0030250A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Konferencia 7.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AF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DSPN0</w:t>
            </w:r>
            <w:r w:rsidR="00AF5A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50A" w:rsidRPr="00AF439F" w:rsidRDefault="0030250A" w:rsidP="007D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Füzér Katalin.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Berger Viktor</w:t>
            </w:r>
          </w:p>
        </w:tc>
      </w:tr>
    </w:tbl>
    <w:p w:rsidR="0030250A" w:rsidRPr="0030250A" w:rsidRDefault="0030250A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egyes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konferenciarészvételek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értéke. </w:t>
      </w:r>
      <w:r w:rsidRPr="00A364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Amennyiben egy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konferenciarészvétel</w:t>
      </w:r>
      <w:r w:rsidRPr="00A364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többet ér 5 kreditnél, és elfogadásra kerül ilyenként, az értékének megfelelő mennyiségű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konferenciás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kurzust kell felvenni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1001"/>
      </w:tblGrid>
      <w:tr w:rsidR="0030250A" w:rsidRPr="00AF439F" w:rsidTr="00AF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AF439F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Poszter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30250A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02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4 kredit </w:t>
            </w:r>
          </w:p>
        </w:tc>
      </w:tr>
      <w:tr w:rsidR="0030250A" w:rsidRPr="00AF439F" w:rsidTr="00AF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AF439F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30250A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02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8 kredit </w:t>
            </w:r>
          </w:p>
        </w:tc>
      </w:tr>
      <w:tr w:rsidR="0030250A" w:rsidRPr="00AF439F" w:rsidTr="00AF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AF439F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Részvétel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minősített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30250A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02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5 kredit </w:t>
            </w:r>
          </w:p>
        </w:tc>
      </w:tr>
      <w:tr w:rsidR="0030250A" w:rsidRPr="00AF439F" w:rsidTr="00AF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AF439F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Poszter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30250A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02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8 kredit </w:t>
            </w:r>
          </w:p>
        </w:tc>
      </w:tr>
      <w:tr w:rsidR="0030250A" w:rsidRPr="00AF439F" w:rsidTr="00AF43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AF439F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F43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50A" w:rsidRPr="0030250A" w:rsidRDefault="0030250A" w:rsidP="00AF4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3025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12 kredit </w:t>
            </w:r>
          </w:p>
        </w:tc>
      </w:tr>
    </w:tbl>
    <w:p w:rsidR="00AF439F" w:rsidRPr="00AF439F" w:rsidRDefault="00AF439F" w:rsidP="00A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70B4" w:rsidRDefault="00A870B4"/>
    <w:sectPr w:rsidR="00A8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F"/>
    <w:rsid w:val="001029D1"/>
    <w:rsid w:val="0025174B"/>
    <w:rsid w:val="0030250A"/>
    <w:rsid w:val="005217A4"/>
    <w:rsid w:val="0069189E"/>
    <w:rsid w:val="007345ED"/>
    <w:rsid w:val="00953E52"/>
    <w:rsid w:val="00A3641D"/>
    <w:rsid w:val="00A870B4"/>
    <w:rsid w:val="00AF439F"/>
    <w:rsid w:val="00AF5A30"/>
    <w:rsid w:val="00BB025D"/>
    <w:rsid w:val="00D86173"/>
    <w:rsid w:val="00E131BD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BB9A"/>
  <w15:chartTrackingRefBased/>
  <w15:docId w15:val="{5C6E9652-2A00-4991-8F41-E9DD864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F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F439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439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F439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8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ger.viktor@pte.hu" TargetMode="External"/><Relationship Id="rId4" Type="http://schemas.openxmlformats.org/officeDocument/2006/relationships/hyperlink" Target="mailto:vegso.zsuzsa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3</cp:revision>
  <dcterms:created xsi:type="dcterms:W3CDTF">2017-09-21T14:22:00Z</dcterms:created>
  <dcterms:modified xsi:type="dcterms:W3CDTF">2017-09-21T16:24:00Z</dcterms:modified>
</cp:coreProperties>
</file>