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CB" w:rsidRPr="009075CB" w:rsidRDefault="009075CB" w:rsidP="009075CB">
      <w:pPr>
        <w:spacing w:after="0" w:line="240" w:lineRule="auto"/>
        <w:jc w:val="center"/>
        <w:rPr>
          <w:b/>
        </w:rPr>
      </w:pPr>
      <w:r w:rsidRPr="009075CB">
        <w:rPr>
          <w:b/>
        </w:rPr>
        <w:t>PÁLYÁZATI FELHÍVÁSOK</w:t>
      </w:r>
    </w:p>
    <w:p w:rsidR="009075CB" w:rsidRPr="009075CB" w:rsidRDefault="009075CB" w:rsidP="009075CB">
      <w:pPr>
        <w:spacing w:after="0" w:line="240" w:lineRule="auto"/>
        <w:jc w:val="center"/>
        <w:rPr>
          <w:b/>
        </w:rPr>
      </w:pPr>
      <w:r w:rsidRPr="009075CB">
        <w:rPr>
          <w:b/>
        </w:rPr>
        <w:t>a 2009-2014 EGT Finanszírozási Mechanizmus Ösztöndíj program (HU08) keretében</w:t>
      </w:r>
    </w:p>
    <w:p w:rsidR="009075CB" w:rsidRDefault="009075CB" w:rsidP="009075CB">
      <w:pPr>
        <w:spacing w:after="0" w:line="240" w:lineRule="auto"/>
      </w:pPr>
    </w:p>
    <w:p w:rsidR="009075CB" w:rsidRDefault="009075CB" w:rsidP="009075CB">
      <w:pPr>
        <w:spacing w:after="0" w:line="240" w:lineRule="auto"/>
      </w:pPr>
      <w:r>
        <w:t>Norvégia, Izland, Liechtenstein intézményeivel hosszú távú kapcsolatok és szakmai együttműködések kialakításához</w:t>
      </w:r>
    </w:p>
    <w:p w:rsidR="009075CB" w:rsidRDefault="009075CB" w:rsidP="009075CB">
      <w:pPr>
        <w:spacing w:after="0" w:line="240" w:lineRule="auto"/>
      </w:pPr>
      <w:r>
        <w:t xml:space="preserve">Pályázat benyújtásának határideje: </w:t>
      </w:r>
      <w:r w:rsidRPr="009075CB">
        <w:rPr>
          <w:b/>
        </w:rPr>
        <w:t>2014. május 5.</w:t>
      </w:r>
    </w:p>
    <w:p w:rsidR="009075CB" w:rsidRDefault="009075CB" w:rsidP="009075CB">
      <w:pPr>
        <w:spacing w:after="0" w:line="240" w:lineRule="auto"/>
      </w:pPr>
    </w:p>
    <w:p w:rsidR="009075CB" w:rsidRDefault="00FA595D" w:rsidP="009075CB">
      <w:pPr>
        <w:spacing w:after="0" w:line="240" w:lineRule="auto"/>
      </w:pPr>
      <w:hyperlink r:id="rId6" w:anchor="elokeszito" w:history="1">
        <w:r w:rsidR="009075CB" w:rsidRPr="0048758C">
          <w:rPr>
            <w:rStyle w:val="Hiperhivatkozs"/>
          </w:rPr>
          <w:t>http://www.norvegalap.hu/osztondijak-palyazati-felhivasok#elokeszito</w:t>
        </w:r>
      </w:hyperlink>
    </w:p>
    <w:p w:rsidR="009075CB" w:rsidRDefault="009075CB" w:rsidP="009075CB">
      <w:pPr>
        <w:spacing w:after="0" w:line="240" w:lineRule="auto"/>
      </w:pPr>
    </w:p>
    <w:p w:rsidR="009075CB" w:rsidRDefault="009075CB" w:rsidP="009075CB">
      <w:pPr>
        <w:spacing w:after="0" w:line="240" w:lineRule="auto"/>
      </w:pPr>
    </w:p>
    <w:p w:rsidR="009075CB" w:rsidRPr="00A07AB5" w:rsidRDefault="009075CB" w:rsidP="00A07AB5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A07AB5">
        <w:rPr>
          <w:b/>
        </w:rPr>
        <w:t>FELSŐOKTATÁSI MOBILITÁSI PÁLYÁZATOK</w:t>
      </w:r>
    </w:p>
    <w:p w:rsidR="009075CB" w:rsidRDefault="009075CB" w:rsidP="009075CB">
      <w:pPr>
        <w:spacing w:after="0" w:line="240" w:lineRule="auto"/>
      </w:pPr>
    </w:p>
    <w:p w:rsidR="009075CB" w:rsidRDefault="009075CB" w:rsidP="009075CB">
      <w:pPr>
        <w:spacing w:after="0" w:line="240" w:lineRule="auto"/>
      </w:pPr>
      <w:r>
        <w:t>Felsőoktatási mobilitás pályázati akciókhoz igényelhető támogatás, az alábbi tevékenységekre:</w:t>
      </w:r>
    </w:p>
    <w:p w:rsidR="009075CB" w:rsidRDefault="009075CB" w:rsidP="00A07AB5">
      <w:pPr>
        <w:spacing w:after="0" w:line="240" w:lineRule="auto"/>
        <w:ind w:left="708"/>
      </w:pPr>
      <w:r>
        <w:t>• hallgatói mobilitás: tanulmányi célú mobilitás; külföldi szakmai gyakorlat; nyári egyetemen való részvétel</w:t>
      </w:r>
    </w:p>
    <w:p w:rsidR="009075CB" w:rsidRDefault="009075CB" w:rsidP="00A07AB5">
      <w:pPr>
        <w:spacing w:after="0" w:line="240" w:lineRule="auto"/>
        <w:ind w:left="708"/>
      </w:pPr>
      <w:r>
        <w:t xml:space="preserve">• személyzeti, oktatói, posztdoktori mobilitás: rövid távú oktatói mobilitás, részvétel konferenciákon, szemináriumokon, </w:t>
      </w:r>
      <w:proofErr w:type="spellStart"/>
      <w:r>
        <w:t>workshopokon</w:t>
      </w:r>
      <w:proofErr w:type="spellEnd"/>
      <w:r>
        <w:t xml:space="preserve"> vagy egyéb tréningen, </w:t>
      </w:r>
      <w:proofErr w:type="spellStart"/>
      <w:r>
        <w:t>jobshadowing</w:t>
      </w:r>
      <w:proofErr w:type="spellEnd"/>
    </w:p>
    <w:p w:rsidR="009075CB" w:rsidRDefault="009075CB" w:rsidP="009075CB">
      <w:pPr>
        <w:spacing w:after="0" w:line="240" w:lineRule="auto"/>
      </w:pPr>
    </w:p>
    <w:p w:rsidR="009075CB" w:rsidRDefault="009075CB" w:rsidP="009075CB">
      <w:pPr>
        <w:spacing w:after="0" w:line="240" w:lineRule="auto"/>
      </w:pPr>
      <w:r>
        <w:t>A pályázó intézménynek minimum egy donor országbeli partnere kell, hogy legyen a pályázat benyújtásához, akik a következő intézményi körből kerülhetnek ki:</w:t>
      </w:r>
    </w:p>
    <w:p w:rsidR="009075CB" w:rsidRDefault="009075CB" w:rsidP="00A07AB5">
      <w:pPr>
        <w:spacing w:after="0" w:line="240" w:lineRule="auto"/>
        <w:ind w:left="708"/>
      </w:pPr>
      <w:r>
        <w:t>• felsőoktatási intézmények: hallgatói mobilitás tanulmányút, rövid távú oktatói mobilitás, valamint nyári egyetem esetén</w:t>
      </w:r>
    </w:p>
    <w:p w:rsidR="009075CB" w:rsidRDefault="009075CB" w:rsidP="00A07AB5">
      <w:pPr>
        <w:spacing w:after="0" w:line="240" w:lineRule="auto"/>
        <w:ind w:left="708"/>
      </w:pPr>
      <w:r>
        <w:t>• bármely intézmény: hallgatói szakmai gyakorlat, oktatók/személyzet konferencia részvétele, valamint intézmény látogatás szakmai tapasztalatszerzés céljából (</w:t>
      </w:r>
      <w:proofErr w:type="spellStart"/>
      <w:r>
        <w:t>jobshadowing</w:t>
      </w:r>
      <w:proofErr w:type="spellEnd"/>
      <w:r>
        <w:t>)</w:t>
      </w:r>
    </w:p>
    <w:p w:rsidR="009075CB" w:rsidRDefault="009075CB" w:rsidP="009075CB">
      <w:pPr>
        <w:spacing w:after="0" w:line="240" w:lineRule="auto"/>
      </w:pPr>
    </w:p>
    <w:p w:rsidR="009075CB" w:rsidRDefault="009075CB" w:rsidP="009075CB">
      <w:pPr>
        <w:spacing w:after="0" w:line="240" w:lineRule="auto"/>
      </w:pPr>
      <w:r w:rsidRPr="00A07AB5">
        <w:rPr>
          <w:b/>
        </w:rPr>
        <w:t>Hallgatói mobilitás</w:t>
      </w:r>
      <w:r>
        <w:t xml:space="preserve"> felsőoktatásban tanuló hallgatók, doktori képzésben részt vevő hallgatók részére</w:t>
      </w:r>
    </w:p>
    <w:p w:rsidR="009075CB" w:rsidRDefault="009075CB" w:rsidP="00A07AB5">
      <w:pPr>
        <w:spacing w:after="0" w:line="240" w:lineRule="auto"/>
        <w:ind w:left="708"/>
      </w:pPr>
      <w:r>
        <w:t>A mobilitásban résztvevő hallgatóknak minimum két lezárt félévvel kell rendelkezniük.</w:t>
      </w:r>
    </w:p>
    <w:p w:rsidR="009075CB" w:rsidRDefault="009075CB" w:rsidP="00A07AB5">
      <w:pPr>
        <w:spacing w:after="0" w:line="240" w:lineRule="auto"/>
        <w:ind w:left="708"/>
      </w:pPr>
      <w:r>
        <w:t xml:space="preserve">• </w:t>
      </w:r>
      <w:r w:rsidRPr="00A07AB5">
        <w:rPr>
          <w:u w:val="single"/>
        </w:rPr>
        <w:t>hallgatói mobilitás</w:t>
      </w:r>
    </w:p>
    <w:p w:rsidR="009075CB" w:rsidRDefault="009075CB" w:rsidP="00A07AB5">
      <w:pPr>
        <w:spacing w:after="0" w:line="240" w:lineRule="auto"/>
        <w:ind w:left="708"/>
      </w:pPr>
      <w:r>
        <w:t>- a mobilitási időszak hossza minimum 3 maximum 12 hónap lehet, általában azonban nem rövidebb, mint egy szemeszter és egy tanéven belül valósul meg.</w:t>
      </w:r>
    </w:p>
    <w:p w:rsidR="009075CB" w:rsidRDefault="009075CB" w:rsidP="00A07AB5">
      <w:pPr>
        <w:spacing w:after="0" w:line="240" w:lineRule="auto"/>
        <w:ind w:left="708"/>
      </w:pPr>
      <w:r>
        <w:t>- a hallgatók mobilitási időszak alatt elvégzett kurzusaiért járó ECTS krediteket elismeri a küldő intézmény</w:t>
      </w:r>
    </w:p>
    <w:p w:rsidR="009075CB" w:rsidRDefault="009075CB" w:rsidP="00A07AB5">
      <w:pPr>
        <w:spacing w:after="0" w:line="240" w:lineRule="auto"/>
        <w:ind w:left="708"/>
      </w:pPr>
      <w:r>
        <w:t xml:space="preserve">• </w:t>
      </w:r>
      <w:r w:rsidRPr="00A07AB5">
        <w:rPr>
          <w:u w:val="single"/>
        </w:rPr>
        <w:t>külföldi szakmai gyakorlat</w:t>
      </w:r>
      <w:r>
        <w:t xml:space="preserve"> hallgatóknak egy partnerországbeli</w:t>
      </w:r>
    </w:p>
    <w:p w:rsidR="009075CB" w:rsidRDefault="009075CB" w:rsidP="00A07AB5">
      <w:pPr>
        <w:spacing w:after="0" w:line="240" w:lineRule="auto"/>
        <w:ind w:left="708"/>
      </w:pPr>
      <w:r>
        <w:t>szervezetnél/vállalatnál (hossza minimum 6 hét maximum 12 hónap)</w:t>
      </w:r>
    </w:p>
    <w:p w:rsidR="009075CB" w:rsidRDefault="009075CB" w:rsidP="00A07AB5">
      <w:pPr>
        <w:spacing w:after="0" w:line="240" w:lineRule="auto"/>
        <w:ind w:left="708"/>
      </w:pPr>
      <w:r>
        <w:t xml:space="preserve">• </w:t>
      </w:r>
      <w:r w:rsidRPr="00A07AB5">
        <w:rPr>
          <w:u w:val="single"/>
        </w:rPr>
        <w:t>nyári egyetemen való részvétel</w:t>
      </w:r>
      <w:r>
        <w:t xml:space="preserve"> (hossza maximum 30 nap)</w:t>
      </w:r>
    </w:p>
    <w:p w:rsidR="009075CB" w:rsidRDefault="009075CB" w:rsidP="009075CB">
      <w:pPr>
        <w:spacing w:after="0" w:line="240" w:lineRule="auto"/>
      </w:pPr>
    </w:p>
    <w:p w:rsidR="009075CB" w:rsidRPr="00A07AB5" w:rsidRDefault="009075CB" w:rsidP="009075CB">
      <w:pPr>
        <w:spacing w:after="0" w:line="240" w:lineRule="auto"/>
        <w:rPr>
          <w:b/>
        </w:rPr>
      </w:pPr>
      <w:bookmarkStart w:id="0" w:name="_GoBack"/>
      <w:r w:rsidRPr="00A07AB5">
        <w:rPr>
          <w:b/>
        </w:rPr>
        <w:t>Oktatói, posztdoktori és személyzeti mobilitás</w:t>
      </w:r>
    </w:p>
    <w:bookmarkEnd w:id="0"/>
    <w:p w:rsidR="009075CB" w:rsidRDefault="009075CB" w:rsidP="00A07AB5">
      <w:pPr>
        <w:spacing w:after="0" w:line="240" w:lineRule="auto"/>
        <w:ind w:left="708"/>
      </w:pPr>
      <w:r>
        <w:t>• rövid távú oktatói mobilitás maximális hossza 6 hét. Minimum</w:t>
      </w:r>
      <w:r w:rsidR="00A07AB5">
        <w:t xml:space="preserve"> </w:t>
      </w:r>
      <w:r>
        <w:t>elvárás 5 óra tanítás/hét</w:t>
      </w:r>
    </w:p>
    <w:p w:rsidR="009075CB" w:rsidRDefault="009075CB" w:rsidP="00A07AB5">
      <w:pPr>
        <w:spacing w:after="0" w:line="240" w:lineRule="auto"/>
        <w:ind w:left="708"/>
      </w:pPr>
      <w:r>
        <w:t>• konferencián, szemináriumokon, szakmai műhelyeken,</w:t>
      </w:r>
      <w:r w:rsidR="00A07AB5">
        <w:t xml:space="preserve"> </w:t>
      </w:r>
      <w:r>
        <w:t>képzéseken való oktatói/személyzeti részvétel minimum 1 napos,</w:t>
      </w:r>
      <w:r w:rsidR="00A07AB5">
        <w:t xml:space="preserve"> </w:t>
      </w:r>
      <w:r>
        <w:t>maximum 6 hetes lehet</w:t>
      </w:r>
    </w:p>
    <w:p w:rsidR="009075CB" w:rsidRDefault="009075CB" w:rsidP="00A07AB5">
      <w:pPr>
        <w:spacing w:after="0" w:line="240" w:lineRule="auto"/>
        <w:ind w:left="708"/>
      </w:pPr>
      <w:r>
        <w:t>• intézménylátogatás szakmai tapasztalatszerzés céljából</w:t>
      </w:r>
      <w:r w:rsidR="00A07AB5">
        <w:t xml:space="preserve"> </w:t>
      </w:r>
      <w:r>
        <w:t>(</w:t>
      </w:r>
      <w:proofErr w:type="spellStart"/>
      <w:r>
        <w:t>jobshadowing</w:t>
      </w:r>
      <w:proofErr w:type="spellEnd"/>
      <w:r>
        <w:t>). A mobilitás minimális hossza 1 hét (5</w:t>
      </w:r>
      <w:r w:rsidR="00A07AB5">
        <w:t xml:space="preserve"> </w:t>
      </w:r>
      <w:r>
        <w:t>munkanap), maximális hossza 6 hét.</w:t>
      </w:r>
    </w:p>
    <w:p w:rsidR="009075CB" w:rsidRDefault="009075CB" w:rsidP="009075CB">
      <w:pPr>
        <w:spacing w:after="0" w:line="240" w:lineRule="auto"/>
      </w:pPr>
    </w:p>
    <w:p w:rsidR="009075CB" w:rsidRPr="00A07AB5" w:rsidRDefault="009075CB" w:rsidP="009075CB">
      <w:pPr>
        <w:spacing w:after="0" w:line="240" w:lineRule="auto"/>
        <w:rPr>
          <w:b/>
        </w:rPr>
      </w:pPr>
      <w:r w:rsidRPr="00A07AB5">
        <w:rPr>
          <w:b/>
        </w:rPr>
        <w:t>Minimum támogatás: EUR 5 000 / projekt</w:t>
      </w:r>
    </w:p>
    <w:p w:rsidR="009075CB" w:rsidRPr="00A07AB5" w:rsidRDefault="009075CB" w:rsidP="009075CB">
      <w:pPr>
        <w:spacing w:after="0" w:line="240" w:lineRule="auto"/>
        <w:rPr>
          <w:b/>
        </w:rPr>
      </w:pPr>
      <w:r w:rsidRPr="00A07AB5">
        <w:rPr>
          <w:b/>
        </w:rPr>
        <w:t>Maximum támogatás: EUR 100 000 / projekt</w:t>
      </w:r>
    </w:p>
    <w:p w:rsidR="009075CB" w:rsidRDefault="009075CB" w:rsidP="009075CB">
      <w:pPr>
        <w:spacing w:after="0" w:line="240" w:lineRule="auto"/>
      </w:pPr>
    </w:p>
    <w:p w:rsidR="009075CB" w:rsidRDefault="009075CB" w:rsidP="009075CB">
      <w:pPr>
        <w:spacing w:after="0" w:line="240" w:lineRule="auto"/>
      </w:pPr>
      <w:r w:rsidRPr="00A07AB5">
        <w:rPr>
          <w:b/>
        </w:rPr>
        <w:t>Nincs kötelező önrész</w:t>
      </w:r>
      <w:r>
        <w:t>, de a támogatás csak hozzájárulás a projekt</w:t>
      </w:r>
      <w:r w:rsidR="00A07AB5">
        <w:t xml:space="preserve"> </w:t>
      </w:r>
      <w:r>
        <w:t>megvalósításához, tehát nem feltétlenül fedezi annak minden</w:t>
      </w:r>
      <w:r w:rsidR="00A07AB5">
        <w:t xml:space="preserve"> </w:t>
      </w:r>
      <w:r>
        <w:t>költségét.</w:t>
      </w:r>
    </w:p>
    <w:p w:rsidR="009075CB" w:rsidRDefault="009075CB" w:rsidP="009075CB">
      <w:pPr>
        <w:spacing w:after="0" w:line="240" w:lineRule="auto"/>
      </w:pPr>
      <w:r>
        <w:t xml:space="preserve">(A támogatás folyósítása 3 részletben történik: 40% mértékű előleg, további 40% az időközi beszámoló jóváhagyása után, a fennmaradó összeg a </w:t>
      </w:r>
      <w:proofErr w:type="spellStart"/>
      <w:r>
        <w:t>záróbeszámoló</w:t>
      </w:r>
      <w:proofErr w:type="spellEnd"/>
      <w:r>
        <w:t xml:space="preserve"> jóváhagyása után.)</w:t>
      </w:r>
    </w:p>
    <w:p w:rsidR="009075CB" w:rsidRDefault="009075CB" w:rsidP="009075CB">
      <w:pPr>
        <w:spacing w:after="0" w:line="240" w:lineRule="auto"/>
      </w:pPr>
    </w:p>
    <w:p w:rsidR="009075CB" w:rsidRDefault="009075CB" w:rsidP="009075CB">
      <w:pPr>
        <w:spacing w:after="0" w:line="240" w:lineRule="auto"/>
      </w:pPr>
      <w:r>
        <w:lastRenderedPageBreak/>
        <w:t>Minden intézmény maximum 15 hónapos időtartamú projektre pályázhat,</w:t>
      </w:r>
    </w:p>
    <w:p w:rsidR="009075CB" w:rsidRDefault="009075CB" w:rsidP="009075CB">
      <w:pPr>
        <w:spacing w:after="0" w:line="240" w:lineRule="auto"/>
      </w:pPr>
    </w:p>
    <w:p w:rsidR="009075CB" w:rsidRDefault="009075CB" w:rsidP="009075CB">
      <w:pPr>
        <w:spacing w:after="0" w:line="240" w:lineRule="auto"/>
      </w:pPr>
      <w:r>
        <w:t>(Előnyben részesülnek a kölcsönös mobilitást megvalósító</w:t>
      </w:r>
      <w:r w:rsidR="00A07AB5">
        <w:t xml:space="preserve"> </w:t>
      </w:r>
      <w:r>
        <w:t>pályázók, valamint oktatói, személyzeti és hallgatói mobilitást</w:t>
      </w:r>
      <w:r w:rsidR="00A07AB5">
        <w:t xml:space="preserve"> </w:t>
      </w:r>
      <w:r>
        <w:t>egyaránt megvalósító pályázók.)</w:t>
      </w:r>
    </w:p>
    <w:p w:rsidR="009075CB" w:rsidRDefault="009075CB" w:rsidP="009075CB">
      <w:pPr>
        <w:spacing w:after="0" w:line="240" w:lineRule="auto"/>
      </w:pPr>
    </w:p>
    <w:p w:rsidR="009075CB" w:rsidRDefault="009075CB" w:rsidP="009075CB">
      <w:pPr>
        <w:spacing w:after="0" w:line="240" w:lineRule="auto"/>
      </w:pPr>
    </w:p>
    <w:p w:rsidR="009075CB" w:rsidRPr="00A07AB5" w:rsidRDefault="009075CB" w:rsidP="00A07AB5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A07AB5">
        <w:rPr>
          <w:b/>
        </w:rPr>
        <w:t>FELSŐOKTATÁSI INTÉZMÉNYKÖZI EGYÜTTMŰKÖDÉSI PROJEKTEK</w:t>
      </w:r>
    </w:p>
    <w:p w:rsidR="009075CB" w:rsidRDefault="009075CB" w:rsidP="009075CB">
      <w:pPr>
        <w:spacing w:after="0" w:line="240" w:lineRule="auto"/>
      </w:pPr>
    </w:p>
    <w:p w:rsidR="009075CB" w:rsidRDefault="009075CB" w:rsidP="009075CB">
      <w:pPr>
        <w:spacing w:after="0" w:line="240" w:lineRule="auto"/>
      </w:pPr>
      <w:r>
        <w:t>Jelen pályázattípusban minimum három intézmény együttműködése támogatható.</w:t>
      </w:r>
      <w:r w:rsidR="00A07AB5">
        <w:t xml:space="preserve"> </w:t>
      </w:r>
      <w:r>
        <w:t>(Vállalkozás, Költségvetési szervek, Nonprofit és egyéb nem nyereségérdekelt szervezet)</w:t>
      </w:r>
    </w:p>
    <w:p w:rsidR="009075CB" w:rsidRDefault="009075CB" w:rsidP="009075CB">
      <w:pPr>
        <w:spacing w:after="0" w:line="240" w:lineRule="auto"/>
      </w:pPr>
    </w:p>
    <w:p w:rsidR="009075CB" w:rsidRDefault="009075CB" w:rsidP="009075CB">
      <w:pPr>
        <w:spacing w:after="0" w:line="240" w:lineRule="auto"/>
      </w:pPr>
      <w:r>
        <w:t>A PÁLYÁZAT KERETÉBEN TÁMOGATHATÓ TEVÉKENYSÉGEK</w:t>
      </w:r>
    </w:p>
    <w:p w:rsidR="009075CB" w:rsidRDefault="009075CB" w:rsidP="00A07AB5">
      <w:pPr>
        <w:spacing w:after="0" w:line="240" w:lineRule="auto"/>
        <w:ind w:left="708"/>
      </w:pPr>
      <w:r>
        <w:t xml:space="preserve">Felsőoktatási intézményközi együttműködési projektek </w:t>
      </w:r>
    </w:p>
    <w:p w:rsidR="009075CB" w:rsidRDefault="009075CB" w:rsidP="00A07AB5">
      <w:pPr>
        <w:spacing w:after="0" w:line="240" w:lineRule="auto"/>
        <w:ind w:left="708"/>
      </w:pPr>
      <w:r>
        <w:t>- Intenzív Programok (IP-k)</w:t>
      </w:r>
    </w:p>
    <w:p w:rsidR="009075CB" w:rsidRDefault="009075CB" w:rsidP="00A07AB5">
      <w:pPr>
        <w:spacing w:after="0" w:line="240" w:lineRule="auto"/>
        <w:ind w:left="708"/>
      </w:pPr>
      <w:r>
        <w:t>- Partnerségek</w:t>
      </w:r>
    </w:p>
    <w:p w:rsidR="009075CB" w:rsidRDefault="009075CB" w:rsidP="00A07AB5">
      <w:pPr>
        <w:spacing w:after="0" w:line="240" w:lineRule="auto"/>
        <w:ind w:left="708"/>
      </w:pPr>
      <w:r>
        <w:t>- Felsőoktatási intézmények és vállalatok közti együttműködések</w:t>
      </w:r>
    </w:p>
    <w:p w:rsidR="009075CB" w:rsidRDefault="009075CB" w:rsidP="009075CB">
      <w:pPr>
        <w:spacing w:after="0" w:line="240" w:lineRule="auto"/>
      </w:pPr>
    </w:p>
    <w:p w:rsidR="009075CB" w:rsidRPr="00A07AB5" w:rsidRDefault="009075CB" w:rsidP="009075CB">
      <w:pPr>
        <w:spacing w:after="0" w:line="240" w:lineRule="auto"/>
        <w:rPr>
          <w:b/>
        </w:rPr>
      </w:pPr>
      <w:r w:rsidRPr="00A07AB5">
        <w:rPr>
          <w:b/>
        </w:rPr>
        <w:t xml:space="preserve">Intenzív programok: </w:t>
      </w:r>
    </w:p>
    <w:p w:rsidR="009075CB" w:rsidRDefault="009075CB" w:rsidP="00A07AB5">
      <w:pPr>
        <w:spacing w:after="0" w:line="240" w:lineRule="auto"/>
        <w:ind w:left="708"/>
      </w:pPr>
      <w:r>
        <w:t>Rövid tömbösített kurzusok, amelyek valami újat kínálnak a tanulási lehetőségek, a készségfejlesztés, az információkhoz való hozzáférés stb. szempontjából. A kurzuson részvevő hallgatók ECTS kreditpontokat kapnak. Az intenzív programok fokozottan multidiszciplináris, innovatív megközelítést alkalmaznak, és a különböző tudományágak hallgatóinak együttműködését szorgalmazzák. Az intenzív program nem állhat kizárólag kutatási tevékenységekből vagy konferenciákból.</w:t>
      </w:r>
    </w:p>
    <w:p w:rsidR="009075CB" w:rsidRDefault="009075CB" w:rsidP="00A07AB5">
      <w:pPr>
        <w:spacing w:after="0" w:line="240" w:lineRule="auto"/>
        <w:ind w:left="708"/>
      </w:pPr>
      <w:r>
        <w:t>(IP-k esetében egy kurzus minimum 10 munkanap, maximum 30 nap hosszúságú.) Az intenzív programon résztvevő külföldről utazó hallgatók száma legalább 10 fő.</w:t>
      </w:r>
    </w:p>
    <w:p w:rsidR="009075CB" w:rsidRDefault="009075CB" w:rsidP="009075CB">
      <w:pPr>
        <w:spacing w:after="0" w:line="240" w:lineRule="auto"/>
      </w:pPr>
    </w:p>
    <w:p w:rsidR="009075CB" w:rsidRPr="00A07AB5" w:rsidRDefault="009075CB" w:rsidP="009075CB">
      <w:pPr>
        <w:spacing w:after="0" w:line="240" w:lineRule="auto"/>
        <w:rPr>
          <w:b/>
        </w:rPr>
      </w:pPr>
      <w:r w:rsidRPr="00A07AB5">
        <w:rPr>
          <w:b/>
        </w:rPr>
        <w:t xml:space="preserve">Partnerségek: </w:t>
      </w:r>
    </w:p>
    <w:p w:rsidR="009075CB" w:rsidRDefault="009075CB" w:rsidP="00A07AB5">
      <w:pPr>
        <w:spacing w:after="0" w:line="240" w:lineRule="auto"/>
        <w:ind w:left="708"/>
      </w:pPr>
      <w:r>
        <w:t xml:space="preserve">A partnerségek tapasztalatcserén, közös gondolkodáson, jó gyakorlatok megosztásán alapulnak, melyek során a partnerintézmények egy adott témát együttesen dolgoznak fel. Az együttműködés döntő részében a partnerek saját intézményükben foglalkoznak a projekttel, miközben találkozókat szerveznek egymással. A következő témák állhatnak a partnerségek fókuszában például: közös oktatási modulok kidolgozása, új oktatási eszközök, módszerek kidolgozása, karok, tanszékek közti hosszú távú együttműködések támogatása, különböző képzési szinteken működő egységek közötti együttműködések, </w:t>
      </w:r>
      <w:proofErr w:type="spellStart"/>
      <w:r>
        <w:t>kreditelismerési</w:t>
      </w:r>
      <w:proofErr w:type="spellEnd"/>
      <w:r>
        <w:t xml:space="preserve"> problémák, közös tananyag kidolgozása stb. további példák: ld. Pályázati útmutató).</w:t>
      </w:r>
    </w:p>
    <w:p w:rsidR="009075CB" w:rsidRDefault="009075CB" w:rsidP="009075CB">
      <w:pPr>
        <w:spacing w:after="0" w:line="240" w:lineRule="auto"/>
      </w:pPr>
    </w:p>
    <w:p w:rsidR="009075CB" w:rsidRPr="00A07AB5" w:rsidRDefault="009075CB" w:rsidP="009075CB">
      <w:pPr>
        <w:spacing w:after="0" w:line="240" w:lineRule="auto"/>
        <w:rPr>
          <w:b/>
        </w:rPr>
      </w:pPr>
      <w:r w:rsidRPr="00A07AB5">
        <w:rPr>
          <w:b/>
        </w:rPr>
        <w:t xml:space="preserve">Felsőoktatási intézmények és vállalatok közti együttműködések: </w:t>
      </w:r>
    </w:p>
    <w:p w:rsidR="009075CB" w:rsidRDefault="009075CB" w:rsidP="00A07AB5">
      <w:pPr>
        <w:spacing w:after="0" w:line="240" w:lineRule="auto"/>
        <w:ind w:left="708"/>
      </w:pPr>
      <w:r>
        <w:t>olyan tevékenységeket kell megvalósítani, amelyek elősegítik a tantervek hozzáigazítását a munkaerő-piaci igényekhez, erősítik a foglalkoztathatóságot, transzverzális készségeket nyújtanak (különös tekintettel a vállalkozói készségre), kétoldalú tudásmegosztást segítenek elő a felsőoktatási intézmények és a tudományos életen kívüli partnerek között, valamint erősítik az innovációs potenciált (további példák: ld. Pályázati útmutató).</w:t>
      </w:r>
    </w:p>
    <w:p w:rsidR="009075CB" w:rsidRDefault="009075CB" w:rsidP="009075CB">
      <w:pPr>
        <w:spacing w:after="0" w:line="240" w:lineRule="auto"/>
      </w:pPr>
    </w:p>
    <w:p w:rsidR="009075CB" w:rsidRDefault="009075CB" w:rsidP="009075CB">
      <w:pPr>
        <w:spacing w:after="0" w:line="240" w:lineRule="auto"/>
      </w:pPr>
      <w:r>
        <w:t xml:space="preserve">Igényelhető támogatás: </w:t>
      </w:r>
      <w:r w:rsidRPr="00A07AB5">
        <w:rPr>
          <w:b/>
        </w:rPr>
        <w:t>minimum 30 000, maximum 300 000 euró projektenként</w:t>
      </w:r>
      <w:r>
        <w:t>.</w:t>
      </w:r>
    </w:p>
    <w:p w:rsidR="009075CB" w:rsidRPr="00A07AB5" w:rsidRDefault="009075CB" w:rsidP="009075CB">
      <w:pPr>
        <w:spacing w:after="0" w:line="240" w:lineRule="auto"/>
        <w:rPr>
          <w:b/>
        </w:rPr>
      </w:pPr>
      <w:r w:rsidRPr="00A07AB5">
        <w:rPr>
          <w:b/>
        </w:rPr>
        <w:t>A támogatási intenzitás 90%-os</w:t>
      </w:r>
    </w:p>
    <w:p w:rsidR="009075CB" w:rsidRDefault="009075CB" w:rsidP="009075CB">
      <w:pPr>
        <w:spacing w:after="0" w:line="240" w:lineRule="auto"/>
      </w:pPr>
      <w:r>
        <w:t xml:space="preserve">(A támogatás folyósítása 3 részletben történik: 40% mértékű előleg, további 40% az időközi beszámoló jóváhagyása után, a fennmaradó összeg a </w:t>
      </w:r>
      <w:proofErr w:type="spellStart"/>
      <w:r>
        <w:t>záróbeszámoló</w:t>
      </w:r>
      <w:proofErr w:type="spellEnd"/>
      <w:r>
        <w:t xml:space="preserve"> jóváhagyása után.)</w:t>
      </w:r>
    </w:p>
    <w:p w:rsidR="009075CB" w:rsidRDefault="009075CB" w:rsidP="009075CB">
      <w:pPr>
        <w:spacing w:after="0" w:line="240" w:lineRule="auto"/>
      </w:pPr>
    </w:p>
    <w:p w:rsidR="009075CB" w:rsidRDefault="009075CB" w:rsidP="009075CB">
      <w:pPr>
        <w:spacing w:after="0" w:line="240" w:lineRule="auto"/>
      </w:pPr>
      <w:r>
        <w:t>Projekt megvalósítás időtartama</w:t>
      </w:r>
      <w:r w:rsidR="00A07AB5">
        <w:t xml:space="preserve"> </w:t>
      </w:r>
      <w:r>
        <w:t>Minimum 15 hónap, maximum 2 év.</w:t>
      </w:r>
    </w:p>
    <w:sectPr w:rsidR="00907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9A"/>
    <w:multiLevelType w:val="hybridMultilevel"/>
    <w:tmpl w:val="FE220FE0"/>
    <w:lvl w:ilvl="0" w:tplc="259E6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CB"/>
    <w:rsid w:val="00053A01"/>
    <w:rsid w:val="00594E0F"/>
    <w:rsid w:val="009075CB"/>
    <w:rsid w:val="00A07AB5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75C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75C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vegalap.hu/osztondijak-palyazati-felhivas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BTK Kari Hivatal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Korr</cp:lastModifiedBy>
  <cp:revision>2</cp:revision>
  <dcterms:created xsi:type="dcterms:W3CDTF">2014-04-16T16:12:00Z</dcterms:created>
  <dcterms:modified xsi:type="dcterms:W3CDTF">2014-04-16T16:12:00Z</dcterms:modified>
</cp:coreProperties>
</file>